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60" w:rsidRDefault="00E03243" w:rsidP="00114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7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Отдела культуры</w:t>
      </w:r>
    </w:p>
    <w:p w:rsidR="00D75260" w:rsidRDefault="00D75260" w:rsidP="00114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Старицкого района</w:t>
      </w:r>
    </w:p>
    <w:p w:rsidR="00A32CDB" w:rsidRPr="00D75260" w:rsidRDefault="00B23A24" w:rsidP="00114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декабря 2015 года № 15р</w:t>
      </w:r>
      <w:bookmarkStart w:id="0" w:name="_GoBack"/>
      <w:bookmarkEnd w:id="0"/>
    </w:p>
    <w:p w:rsidR="00E14773" w:rsidRDefault="00AA1CD6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CB684A" w:rsidRDefault="00D75260" w:rsidP="00E0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нормативных затрат на оказание муниципальной  услуги</w:t>
      </w:r>
      <w:r w:rsidR="00E0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«Реализация дополнительных общеобразовательных общеразвивающих программ</w:t>
      </w:r>
      <w:r w:rsidR="00AA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7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сфере культуры, применяемых при расчете объема финансового обеспечения выполнения муниципального задания</w:t>
      </w:r>
    </w:p>
    <w:p w:rsidR="00FC5B4F" w:rsidRPr="00FC5B4F" w:rsidRDefault="00E03243" w:rsidP="00E03243">
      <w:pPr>
        <w:tabs>
          <w:tab w:val="left" w:pos="2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C5B4F" w:rsidRPr="00FC5B4F" w:rsidRDefault="001143A7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i-ой муниципальной</w:t>
      </w:r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культуры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i-ая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FC5B4F" w:rsidRPr="00FC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/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/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/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базовый норматив затрат на оказание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затрат на оказание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m:oMath>
        <m:r>
          <w:rPr>
            <w:rFonts w:ascii="Cambria Math" w:hAnsi="Cambria Math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/>
        </m:sSubSup>
      </m:oMath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следующей формуле: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F" w:rsidRPr="001143A7" w:rsidRDefault="00476ABB" w:rsidP="00E147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/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</w:rPr>
              <m:t>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непоср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норматив затрат, непосредственно связанных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оказанием i-ой муниципальной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норматив затрат на общехозяйственные нужды на оказание i­ой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затрат, непосредственно связанных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рассчитывается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E14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непоср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учетом срока полезного использования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затраты на арендные платежи)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иные затраты, непосредственно связанные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ОТ1</m:t>
            </m:r>
          </m:sup>
        </m:sSubSup>
      </m:oMath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E14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 xml:space="preserve">ОТ1 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/>
            <w:color w:val="000000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значение натуральной нормы рабочего времени, затрачиваемого d-ым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работником, непосредственно связанным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оказание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государственной услуги;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id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ОТ1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размер повременной (часовой, дневной, месячной, годовой) оплаты труда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d-ого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непосредственно связанного с оказанием i-ой</w:t>
      </w:r>
      <w:r w:rsidR="00E14773" w:rsidRP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14773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повременной (часовой, дневной, месячной, годовой) оплаты труда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начислениями на выплаты по оплате труда d-ого работника, непосредственно связанного с оказанием i-ой </w:t>
      </w:r>
      <w:r w:rsidR="00E14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8 настоящих Общих требований </w:t>
      </w:r>
      <w:r w:rsidR="00EF5D80" w:rsidRPr="00EF5D80">
        <w:rPr>
          <w:rFonts w:ascii="Times New Roman" w:hAnsi="Times New Roman" w:cs="Times New Roman"/>
          <w:sz w:val="24"/>
          <w:szCs w:val="24"/>
        </w:rPr>
        <w:t>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EF5D80">
        <w:rPr>
          <w:rFonts w:ascii="Times New Roman" w:hAnsi="Times New Roman" w:cs="Times New Roman"/>
          <w:sz w:val="24"/>
          <w:szCs w:val="24"/>
        </w:rPr>
        <w:t>, утвержденных приказом Министерства культуры Российской Федерации от 9 июня 2015 года № 1762</w:t>
      </w:r>
      <w:r w:rsidR="006C270E">
        <w:rPr>
          <w:rFonts w:ascii="Times New Roman" w:hAnsi="Times New Roman" w:cs="Times New Roman"/>
          <w:sz w:val="24"/>
          <w:szCs w:val="24"/>
        </w:rPr>
        <w:t xml:space="preserve"> (далее – Общие требования)</w:t>
      </w:r>
      <w:r w:rsidR="00EF5D80">
        <w:rPr>
          <w:rFonts w:ascii="Times New Roman" w:hAnsi="Times New Roman" w:cs="Times New Roman"/>
          <w:sz w:val="24"/>
          <w:szCs w:val="24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и особо ценного движимого имущества, потребляемых (используемых) в процес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оказания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учетом срока полезного использования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затраты на арендные платежи),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значениями натуральных норм, определенных согласно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 пункта 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EF5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МЗ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МЗ</m:t>
                    </m:r>
                  </m:sup>
                </m:sSubSup>
              </m:den>
            </m:f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k-ого вида материального запаса/особо ценного движимого имущества, непосредственно используемого в процессе оказания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срок полезного использования k-ого вида материального запаса/особо ценного движимого имущества.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непосредственно связанные с оказанием i-ой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соответствии со значениями натуральных норм, определенных согласно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8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EF5D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ИНЗ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ИНЗ</m:t>
                    </m:r>
                  </m:sup>
                </m:sSubSup>
              </m:den>
            </m:f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l-ого вида, непосредственно используемой в процессе оказания i-ой государственной услуги и не учтенной в затратах на оплату труда с начислениями на выплаты по оплате труда работников, непосредственно связанных с оказанием i-ой государственной услуги, и затратах на приобретение материальных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запасов и особо ценного движимого имущества, потребляемых (используемых) в процессе оказания i-ой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 учетом срока полезного использования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затраты на арендные платежи)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иная натуральная норма, непосредственно используемая в процессе оказания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l-ой иной натуральной нормы, непосредственно используемой в процессе оказания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срок полезного использования l-ой иной натуральной нормы, непосредственно используемой в процессе оказания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иной натуральной нормы, непосредственно используемой в процес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оказания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норматив затрат на общехозяйственные нужды на оказание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EC16E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общ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коммунальные услуги для i-ой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содержание объектов недвижимого имущества, необходимого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муниципального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(в том числе затраты на арендные платежи);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содержание объектов особо ценного движимого имущества,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муниципального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затраты на арендные платежи);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приобретение услу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связи для 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приобретение транспортны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услуг для 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оказании 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прочие общехозяйственные нужды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="00EC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i-ой муниципальной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работ/услуг, учитываемых при определении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общ</m:t>
            </m:r>
          </m:sup>
        </m:sSubSup>
      </m:oMath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в соот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EC1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КУ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КУ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КУ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iw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КУ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(расхода)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коммунальной услуги, учитываемая при расчете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(расхода) коммунальной услуги);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iw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КУ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затрат на коммунальные</w:t>
      </w:r>
      <w:r w:rsidR="00EC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газа и иного вида топлива;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электроэнергии;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теплоэнергии на отопление зданий, помещений и сооружений;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горячей воды;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холодного водоснабжения;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водоотведения;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других видов коммунальных услуг.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объектов недвижимого имущества, необходимого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(в том числе затраты на арендные платежи), рассчитываются по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6C2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СНИ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СНИ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im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недвижимого имущества, учитываемая при расчете базового норматива затрат на общехозяйственные нужды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вида работ/услуг по содержанию объектов недвижимого имущества);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im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СНИ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содержание объектов недвижимого имущества, необходимого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</w:t>
      </w:r>
      <w:r w:rsidR="006C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на техническое обслуживание и регламентно-профилактический ремонт систем охранно-тревожной сигнализации;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текущего ремонта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прилегающей территории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обслуживание и уборку помещения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вывоз твердых бытовых отходов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техническое обслуживание и регламентно-профилактический ремонт водонапорной насосной станции пожаротушения;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на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на другие виды работ/услуг по содержанию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недвижимого имущества.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объектов особо ценного движимого имущества, необходимого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рассчитываются по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D71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СОЦДИ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СОЦДИ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in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вида работ/услуг по содержанию объектов особо ценного движимого имущества);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in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СОЦДИ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содержание объектов особо ценного движимого имущества, необходимого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муниципального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и ремонт транспортных средств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техническое обслуживание и регламентно-профилактический ремонт системы газового пожаротушения и систем пожарной сигнализации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техническое обслуживание и регламентно-профилактический ремонт систем кондиционирования и вентиляции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техническое обслуживание и регламентно-профилактический ремонт систем видеонаблюдения;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на другие виды работ/услуг по содержанию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особо ценного движимого имущества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услу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связи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D71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УС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УС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связи, учитываемая при расчете базового норматива затрат на общехозяйственные нужды на оказание i-ой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услуги связи);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ip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УС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услуги связи, учитываемой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услуги связи, учитываемой при расчете базового норматива затрат на общехозяйственные нужды 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приобретение услу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связи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</w:t>
      </w:r>
      <w:r w:rsidR="00D7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пункта 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стационарной связи;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сотовой связи;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подключения к сети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для планшетного компьютера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-  подключения к сети 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для стационарного компьютера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иных услуг связи.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транспортных услуг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рассчитываются по следующей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A63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ТУ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ТУ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учитываемая при расчете базового норматива затрат на общехозяйственные нужды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натуральная норма потребления транспортной услуги);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ir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ТУ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приобретение транспортны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для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 пункта 8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в том числе: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доставки грузов;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</w:t>
      </w: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 транспортных средств</w:t>
      </w: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B4F" w:rsidRPr="001143A7" w:rsidRDefault="00FC5B4F" w:rsidP="001143A7">
      <w:pPr>
        <w:widowControl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</w:pPr>
      <w:r w:rsidRPr="001143A7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-  иных транспортных услуг.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труда с начислениями на выплаты по оплате труда работников, которые не принимают непосредственного участия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оказании i-ой муниципальной услуги, рассчитываются следующим способом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A63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ОТ2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ОТ2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натуральной нормы рабочего времени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работника, который не принимает непосредственного уч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в оказании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учитываемая при расчете базового норматива затрат на общехозяйственные нужды на оказание i-ой государственной услуги;</w:t>
      </w:r>
    </w:p>
    <w:p w:rsidR="00FC5B4F" w:rsidRPr="001143A7" w:rsidRDefault="00476ABB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ОТ2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повременной (часовой, дневной, месячной, годовой) оплаты труда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труда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работника, который не принимает непосредственного участия в оказании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повременной (часовой, дневной, месячной, годовой) оплаты труда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начислениями на выплаты по оплате труда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работника, который не принимает непосредственного участия в оказании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63BB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FC5B4F" w:rsidRPr="001143A7" w:rsidRDefault="00FC5B4F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фонд оплаты труда и годовой фонд рабочего времени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работника, который не принимает непосредственного уч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в оказании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определяются в соответствии со значениями натуральных норм, применяемых соглас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положениям пункта 8 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прочих работ и услуг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со значениями натуральных норм, определенных согласно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  пункта 8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требований, рассчитываются по формуле: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0F4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iбаз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ПНЗ</m:t>
                </m:r>
              </m:sup>
            </m:sSubSup>
            <m:r>
              <w:rPr>
                <w:rFonts w:ascii="Cambria Math" w:hAnsi="Cambria Math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ПНЗ</m:t>
                </m:r>
              </m:sup>
            </m:sSubSup>
          </m:e>
        </m:nary>
      </m:oMath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C5B4F" w:rsidRPr="001143A7" w:rsidRDefault="00FC5B4F" w:rsidP="00114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B4F" w:rsidRPr="0011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натуральной нормы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учитываемая при расчете базового норматива затрат на общехозяйственные нужды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FC5B4F" w:rsidRPr="001143A7" w:rsidRDefault="00476ABB" w:rsidP="001143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ПНЗ</m:t>
            </m:r>
          </m:sup>
        </m:sSubSup>
      </m:oMath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(цена, тариф) 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i­ой муниципальной</w:t>
      </w:r>
      <w:r w:rsidR="00FC5B4F"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соответствующем финансовом году.</w:t>
      </w:r>
    </w:p>
    <w:p w:rsidR="00FC5B4F" w:rsidRPr="001143A7" w:rsidRDefault="00FC5B4F" w:rsidP="001143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(цена, тариф) </w:t>
      </w:r>
      <w:r w:rsidRPr="001143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i-ой муниципальной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определяется в соот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пункта 14 настоящей Методики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государственной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разрабатываемым согласно статье 173 Бюджетного кодекса Российской</w:t>
      </w:r>
      <w:r w:rsidR="000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B4F" w:rsidRPr="001143A7" w:rsidRDefault="00FC5B4F" w:rsidP="001143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4F" w:rsidRPr="00FC5B4F" w:rsidRDefault="00FC5B4F" w:rsidP="001143A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5B4F" w:rsidRPr="00FC5B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BB" w:rsidRDefault="00476ABB">
      <w:pPr>
        <w:spacing w:after="0" w:line="240" w:lineRule="auto"/>
      </w:pPr>
      <w:r>
        <w:separator/>
      </w:r>
    </w:p>
  </w:endnote>
  <w:endnote w:type="continuationSeparator" w:id="0">
    <w:p w:rsidR="00476ABB" w:rsidRDefault="0047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4F" w:rsidRPr="00C77E59" w:rsidRDefault="00FC5B4F" w:rsidP="00FC5B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BB" w:rsidRDefault="00476ABB">
      <w:pPr>
        <w:spacing w:after="0" w:line="240" w:lineRule="auto"/>
      </w:pPr>
      <w:r>
        <w:separator/>
      </w:r>
    </w:p>
  </w:footnote>
  <w:footnote w:type="continuationSeparator" w:id="0">
    <w:p w:rsidR="00476ABB" w:rsidRDefault="0047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 w15:restartNumberingAfterBreak="0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 w15:restartNumberingAfterBreak="0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 w15:restartNumberingAfterBreak="0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69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9" w15:restartNumberingAfterBreak="0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11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26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  <w:num w:numId="21">
    <w:abstractNumId w:val="15"/>
  </w:num>
  <w:num w:numId="22">
    <w:abstractNumId w:val="19"/>
  </w:num>
  <w:num w:numId="23">
    <w:abstractNumId w:val="9"/>
  </w:num>
  <w:num w:numId="24">
    <w:abstractNumId w:val="21"/>
  </w:num>
  <w:num w:numId="25">
    <w:abstractNumId w:val="22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60"/>
    <w:rsid w:val="00052704"/>
    <w:rsid w:val="000F4426"/>
    <w:rsid w:val="001143A7"/>
    <w:rsid w:val="00391E93"/>
    <w:rsid w:val="00476ABB"/>
    <w:rsid w:val="004A75D1"/>
    <w:rsid w:val="00683F76"/>
    <w:rsid w:val="006C270E"/>
    <w:rsid w:val="007000A3"/>
    <w:rsid w:val="00842FA4"/>
    <w:rsid w:val="00A32CDB"/>
    <w:rsid w:val="00A431D7"/>
    <w:rsid w:val="00A6375F"/>
    <w:rsid w:val="00A63BB1"/>
    <w:rsid w:val="00AA1CD6"/>
    <w:rsid w:val="00AF488D"/>
    <w:rsid w:val="00B16A6C"/>
    <w:rsid w:val="00B23A24"/>
    <w:rsid w:val="00B94A18"/>
    <w:rsid w:val="00CB684A"/>
    <w:rsid w:val="00D714A1"/>
    <w:rsid w:val="00D75260"/>
    <w:rsid w:val="00DA1ED8"/>
    <w:rsid w:val="00E03243"/>
    <w:rsid w:val="00E14773"/>
    <w:rsid w:val="00EC16E2"/>
    <w:rsid w:val="00EF5D80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FDF0"/>
  <w15:docId w15:val="{CBE3DBDE-1C62-44A6-8879-5A65E0B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A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C5B4F"/>
  </w:style>
  <w:style w:type="character" w:styleId="a6">
    <w:name w:val="Placeholder Text"/>
    <w:uiPriority w:val="99"/>
    <w:semiHidden/>
    <w:rsid w:val="00FC5B4F"/>
    <w:rPr>
      <w:color w:val="808080"/>
    </w:rPr>
  </w:style>
  <w:style w:type="character" w:customStyle="1" w:styleId="CharStyle3">
    <w:name w:val="Char Style 3"/>
    <w:link w:val="Style2"/>
    <w:uiPriority w:val="99"/>
    <w:locked/>
    <w:rsid w:val="00FC5B4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C5B4F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FC5B4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C5B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B4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B4F"/>
    <w:rPr>
      <w:rFonts w:ascii="Cambria" w:eastAsia="Times New Roman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B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B4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5B4F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B4F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5B4F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C5B4F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FC5B4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C5B4F"/>
    <w:rPr>
      <w:rFonts w:ascii="Cambria" w:eastAsia="Times New Roman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C5B4F"/>
    <w:rPr>
      <w:vertAlign w:val="superscript"/>
    </w:rPr>
  </w:style>
  <w:style w:type="character" w:styleId="af4">
    <w:name w:val="Hyperlink"/>
    <w:uiPriority w:val="99"/>
    <w:unhideWhenUsed/>
    <w:rsid w:val="00FC5B4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C5B4F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C5B4F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FC5B4F"/>
    <w:rPr>
      <w:rFonts w:ascii="Calibri" w:eastAsia="Cambr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4645-4386-4FF5-AC7D-C7B0E8D8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GlawBuh</dc:creator>
  <cp:lastModifiedBy>Пользователь</cp:lastModifiedBy>
  <cp:revision>14</cp:revision>
  <cp:lastPrinted>2016-01-11T11:23:00Z</cp:lastPrinted>
  <dcterms:created xsi:type="dcterms:W3CDTF">2016-01-11T07:25:00Z</dcterms:created>
  <dcterms:modified xsi:type="dcterms:W3CDTF">2021-05-24T09:42:00Z</dcterms:modified>
</cp:coreProperties>
</file>